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1F" w:rsidRPr="00040D1F" w:rsidRDefault="00040D1F" w:rsidP="00040D1F">
      <w:pPr>
        <w:spacing w:before="150" w:after="100" w:afterAutospacing="1" w:line="660" w:lineRule="atLeast"/>
        <w:outlineLvl w:val="0"/>
        <w:rPr>
          <w:rFonts w:ascii="MullerExtraBold" w:eastAsia="Times New Roman" w:hAnsi="MullerExtraBold" w:cs="Times New Roman"/>
          <w:color w:val="000000"/>
          <w:kern w:val="36"/>
          <w:sz w:val="54"/>
          <w:szCs w:val="54"/>
          <w:lang w:eastAsia="ru-RU"/>
        </w:rPr>
      </w:pPr>
      <w:r w:rsidRPr="00040D1F">
        <w:rPr>
          <w:rFonts w:ascii="MullerExtraBold" w:eastAsia="Times New Roman" w:hAnsi="MullerExtraBold" w:cs="Times New Roman"/>
          <w:color w:val="000000"/>
          <w:kern w:val="36"/>
          <w:sz w:val="54"/>
          <w:szCs w:val="54"/>
          <w:lang w:eastAsia="ru-RU"/>
        </w:rPr>
        <w:t xml:space="preserve">Всего год на установку ОДПУ по тепловой энергии в </w:t>
      </w:r>
      <w:proofErr w:type="gramStart"/>
      <w:r w:rsidRPr="00040D1F">
        <w:rPr>
          <w:rFonts w:ascii="MullerExtraBold" w:eastAsia="Times New Roman" w:hAnsi="MullerExtraBold" w:cs="Times New Roman"/>
          <w:color w:val="000000"/>
          <w:kern w:val="36"/>
          <w:sz w:val="54"/>
          <w:szCs w:val="54"/>
          <w:lang w:eastAsia="ru-RU"/>
        </w:rPr>
        <w:t>небольших</w:t>
      </w:r>
      <w:proofErr w:type="gramEnd"/>
      <w:r w:rsidRPr="00040D1F">
        <w:rPr>
          <w:rFonts w:ascii="MullerExtraBold" w:eastAsia="Times New Roman" w:hAnsi="MullerExtraBold" w:cs="Times New Roman"/>
          <w:color w:val="000000"/>
          <w:kern w:val="36"/>
          <w:sz w:val="54"/>
          <w:szCs w:val="54"/>
          <w:lang w:eastAsia="ru-RU"/>
        </w:rPr>
        <w:t xml:space="preserve"> МКД</w:t>
      </w:r>
    </w:p>
    <w:p w:rsidR="00040D1F" w:rsidRPr="00040D1F" w:rsidRDefault="00040D1F" w:rsidP="00040D1F">
      <w:pPr>
        <w:shd w:val="clear" w:color="auto" w:fill="FFB900"/>
        <w:spacing w:line="330" w:lineRule="atLeast"/>
        <w:rPr>
          <w:rFonts w:ascii="MullerMedium" w:eastAsia="Times New Roman" w:hAnsi="MullerMedium" w:cs="Times New Roman"/>
          <w:color w:val="D6343D"/>
          <w:sz w:val="21"/>
          <w:szCs w:val="21"/>
          <w:lang w:eastAsia="ru-RU"/>
        </w:rPr>
      </w:pPr>
      <w:r w:rsidRPr="00040D1F">
        <w:rPr>
          <w:rFonts w:ascii="MullerMedium" w:eastAsia="Times New Roman" w:hAnsi="MullerMedium" w:cs="Times New Roman"/>
          <w:color w:val="D6343D"/>
          <w:sz w:val="21"/>
          <w:szCs w:val="21"/>
          <w:lang w:eastAsia="ru-RU"/>
        </w:rPr>
        <w:t>Тема: </w:t>
      </w:r>
      <w:hyperlink r:id="rId6" w:history="1">
        <w:r w:rsidRPr="00040D1F">
          <w:rPr>
            <w:rFonts w:ascii="MullerMedium" w:eastAsia="Times New Roman" w:hAnsi="MullerMedium" w:cs="Times New Roman"/>
            <w:color w:val="D6343D"/>
            <w:sz w:val="21"/>
            <w:szCs w:val="21"/>
            <w:lang w:eastAsia="ru-RU"/>
          </w:rPr>
          <w:t>Приборы учета</w:t>
        </w:r>
      </w:hyperlink>
    </w:p>
    <w:p w:rsidR="00040D1F" w:rsidRPr="00040D1F" w:rsidRDefault="00040D1F" w:rsidP="00040D1F">
      <w:pPr>
        <w:spacing w:after="375" w:line="45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</w:pPr>
      <w:r w:rsidRPr="00040D1F">
        <w:rPr>
          <w:rFonts w:ascii="myriadpro-regular" w:eastAsia="Times New Roman" w:hAnsi="myriadpro-regular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BDFEB26" wp14:editId="184CE58D">
            <wp:extent cx="7448550" cy="5200650"/>
            <wp:effectExtent l="0" t="0" r="0" b="0"/>
            <wp:docPr id="1" name="Рисунок 1" descr="http://www.burmistr.ru/upload/iblock/439/dfce4e35d13ae43256425159d486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rmistr.ru/upload/iblock/439/dfce4e35d13ae43256425159d48606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D1F" w:rsidRPr="00040D1F" w:rsidRDefault="00040D1F" w:rsidP="00040D1F">
      <w:pPr>
        <w:spacing w:before="375" w:after="375" w:line="45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</w:pP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 xml:space="preserve">Заниматься </w:t>
      </w:r>
      <w:proofErr w:type="spellStart"/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энергоэффективностью</w:t>
      </w:r>
      <w:proofErr w:type="spellEnd"/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 xml:space="preserve"> модно. За это можно получить похвалу даже от самого главы Минстроя. А заниматься </w:t>
      </w:r>
      <w:proofErr w:type="spellStart"/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энергоэффективностью</w:t>
      </w:r>
      <w:proofErr w:type="spellEnd"/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 xml:space="preserve"> на </w:t>
      </w:r>
      <w:proofErr w:type="gramStart"/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небольших</w:t>
      </w:r>
      <w:proofErr w:type="gramEnd"/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 xml:space="preserve"> МКД обязательно и даже выгодно, так как обратное приведет к убыткам и штрафам. Не верите? Специально для вас государство в 2017 году подготовило «подарок» в виде обязанности поставить общедомовые приборы учета тепловой энергии на МКД, максимальный объем потребления тепловой </w:t>
      </w:r>
      <w:proofErr w:type="gramStart"/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энергии</w:t>
      </w:r>
      <w:proofErr w:type="gramEnd"/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 xml:space="preserve"> в которых составляет менее 0,2 </w:t>
      </w:r>
      <w:proofErr w:type="spellStart"/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Гигакалории</w:t>
      </w:r>
      <w:proofErr w:type="spellEnd"/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 xml:space="preserve"> в час.</w:t>
      </w:r>
    </w:p>
    <w:p w:rsidR="00040D1F" w:rsidRPr="00040D1F" w:rsidRDefault="00040D1F" w:rsidP="00040D1F">
      <w:pPr>
        <w:spacing w:before="375" w:after="375" w:line="45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</w:pP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lastRenderedPageBreak/>
        <w:t xml:space="preserve">Многие из вас знают, что в МКД, максимальный объем потребления тепловой </w:t>
      </w:r>
      <w:proofErr w:type="gramStart"/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энергии</w:t>
      </w:r>
      <w:proofErr w:type="gramEnd"/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 xml:space="preserve"> в которых составляет менее 0,2 </w:t>
      </w:r>
      <w:proofErr w:type="spellStart"/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Гигакалории</w:t>
      </w:r>
      <w:proofErr w:type="spellEnd"/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 xml:space="preserve"> в час, общедомовые приборы учета (далее по тексту – ОДПУ) </w:t>
      </w:r>
      <w:r w:rsidRPr="00040D1F">
        <w:rPr>
          <w:rFonts w:ascii="myriadpro-bold" w:eastAsia="Times New Roman" w:hAnsi="myriadpro-bold" w:cs="Times New Roman"/>
          <w:color w:val="000000"/>
          <w:sz w:val="27"/>
          <w:szCs w:val="27"/>
          <w:lang w:eastAsia="ru-RU"/>
        </w:rPr>
        <w:t>по тепловой энергии можно не ставить</w:t>
      </w: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. Это, мол, прописано в Федеральном законе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по тексту -261-ФЗ).</w:t>
      </w:r>
    </w:p>
    <w:p w:rsidR="00040D1F" w:rsidRPr="00040D1F" w:rsidRDefault="00040D1F" w:rsidP="00040D1F">
      <w:pPr>
        <w:spacing w:before="375" w:after="375" w:line="45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</w:pP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Спешу расстроить, но это уже не так.</w:t>
      </w:r>
    </w:p>
    <w:p w:rsidR="00040D1F" w:rsidRPr="00040D1F" w:rsidRDefault="00040D1F" w:rsidP="00040D1F">
      <w:pPr>
        <w:spacing w:before="375" w:after="375" w:line="45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</w:pP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 xml:space="preserve">С 31 июля 2017 года действует новая редакция 261-ФЗ. Согласно п.8 ст.13 261-ФЗ собственники помещений в МКД максимальный объем потребления тепловой </w:t>
      </w:r>
      <w:proofErr w:type="gramStart"/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энергии</w:t>
      </w:r>
      <w:proofErr w:type="gramEnd"/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 xml:space="preserve"> которых составляет менее чем 0,2 Гкал в час, </w:t>
      </w:r>
      <w:r w:rsidRPr="00040D1F">
        <w:rPr>
          <w:rFonts w:ascii="myriadpro-bold" w:eastAsia="Times New Roman" w:hAnsi="myriadpro-bold" w:cs="Times New Roman"/>
          <w:color w:val="000000"/>
          <w:sz w:val="27"/>
          <w:szCs w:val="27"/>
          <w:lang w:eastAsia="ru-RU"/>
        </w:rPr>
        <w:t>обязаны обеспечить оснащение таких объектов приборами учета используемой тепловой энергии, а также ввод установленных приборов учета в эксплуатацию</w:t>
      </w: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. </w:t>
      </w:r>
    </w:p>
    <w:p w:rsidR="00040D1F" w:rsidRPr="00040D1F" w:rsidRDefault="00040D1F" w:rsidP="00040D1F">
      <w:pPr>
        <w:spacing w:before="375" w:after="375" w:line="45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</w:pP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В новой редакции 261-ФЗ </w:t>
      </w:r>
      <w:r w:rsidRPr="00040D1F">
        <w:rPr>
          <w:rFonts w:ascii="myriadpro-bold" w:eastAsia="Times New Roman" w:hAnsi="myriadpro-bold" w:cs="Times New Roman"/>
          <w:color w:val="000000"/>
          <w:sz w:val="27"/>
          <w:szCs w:val="27"/>
          <w:lang w:eastAsia="ru-RU"/>
        </w:rPr>
        <w:t xml:space="preserve">до 01 июля 2018 года </w:t>
      </w:r>
      <w:proofErr w:type="spellStart"/>
      <w:r w:rsidRPr="00040D1F">
        <w:rPr>
          <w:rFonts w:ascii="myriadpro-bold" w:eastAsia="Times New Roman" w:hAnsi="myriadpro-bold" w:cs="Times New Roman"/>
          <w:color w:val="000000"/>
          <w:sz w:val="27"/>
          <w:szCs w:val="27"/>
          <w:lang w:eastAsia="ru-RU"/>
        </w:rPr>
        <w:t>ресурсоснабжающие</w:t>
      </w:r>
      <w:proofErr w:type="spellEnd"/>
      <w:r w:rsidRPr="00040D1F">
        <w:rPr>
          <w:rFonts w:ascii="myriadpro-bold" w:eastAsia="Times New Roman" w:hAnsi="myriadpro-bold" w:cs="Times New Roman"/>
          <w:color w:val="000000"/>
          <w:sz w:val="27"/>
          <w:szCs w:val="27"/>
          <w:lang w:eastAsia="ru-RU"/>
        </w:rPr>
        <w:t xml:space="preserve"> организации обязаны представить собственникам помещений в МКД (при прямых договорах) или управляющим организациям (ТСЖ)</w:t>
      </w: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 предложения об оснащении МКД с максимальным объемом потребления тепловой энергии менее 0,2 Гкал в час приборами учета используемой тепловой энергии (п.10 ст.13 261-ФЗ). </w:t>
      </w:r>
    </w:p>
    <w:p w:rsidR="00040D1F" w:rsidRPr="00040D1F" w:rsidRDefault="00040D1F" w:rsidP="00040D1F">
      <w:pPr>
        <w:spacing w:before="375" w:after="375" w:line="45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</w:pP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В свою очередь, управляющие организации и ТСЖ обязаны проинформировать собственников помещений о поступивших от РСО предложениях на установке ОДПУ. (п.10 ст.13 261-ФЗ). </w:t>
      </w:r>
    </w:p>
    <w:p w:rsidR="00040D1F" w:rsidRPr="00040D1F" w:rsidRDefault="00040D1F" w:rsidP="00040D1F">
      <w:pPr>
        <w:spacing w:before="375" w:after="375" w:line="45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</w:pP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 xml:space="preserve">Обратите внимание, что в случае </w:t>
      </w:r>
      <w:proofErr w:type="spellStart"/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неуведомления</w:t>
      </w:r>
      <w:proofErr w:type="spellEnd"/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 xml:space="preserve"> собственников помещений со стороны управляющей организации (ТСЖ) о предложениях РСО по установке ОДПУ, </w:t>
      </w:r>
      <w:r w:rsidRPr="00040D1F">
        <w:rPr>
          <w:rFonts w:ascii="myriadpro-bold" w:eastAsia="Times New Roman" w:hAnsi="myriadpro-bold" w:cs="Times New Roman"/>
          <w:color w:val="000000"/>
          <w:sz w:val="27"/>
          <w:szCs w:val="27"/>
          <w:u w:val="single"/>
          <w:lang w:eastAsia="ru-RU"/>
        </w:rPr>
        <w:t>управляющая организация (ТСЖ) может быть привлечена к ответственности по п.5 ст.9.16 КоАП РФ в  виде административного штрафа на юридических лиц от 20 000 до 30 000 рублей</w:t>
      </w: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. </w:t>
      </w:r>
    </w:p>
    <w:p w:rsidR="00040D1F" w:rsidRPr="00040D1F" w:rsidRDefault="00040D1F" w:rsidP="00040D1F">
      <w:pPr>
        <w:spacing w:before="375" w:after="375" w:line="45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</w:pP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lastRenderedPageBreak/>
        <w:t>Как показала практика, РСО особо не торопятся устанавливать на МКД ОДПУ по тепловой энергии. Причина нерасторопности проста – </w:t>
      </w:r>
      <w:r w:rsidRPr="00040D1F">
        <w:rPr>
          <w:rFonts w:ascii="myriadpro-bold" w:eastAsia="Times New Roman" w:hAnsi="myriadpro-bold" w:cs="Times New Roman"/>
          <w:color w:val="000000"/>
          <w:sz w:val="27"/>
          <w:szCs w:val="27"/>
          <w:lang w:eastAsia="ru-RU"/>
        </w:rPr>
        <w:t>на этом РСО может зарабатывать неплохие деньги</w:t>
      </w: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. </w:t>
      </w:r>
    </w:p>
    <w:p w:rsidR="00040D1F" w:rsidRPr="00040D1F" w:rsidRDefault="00040D1F" w:rsidP="00040D1F">
      <w:pPr>
        <w:spacing w:before="375" w:after="375" w:line="45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</w:pP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С 01 января 2017 года действует новая редакция Правил, обязательных при заключении договора снабжения коммунальными ресурсами, утвержденных Постановлением Правительства РФ от 14.02.2012 № 124 (далее по тексту – Правила 124). Согласно п.22 Правил 124, при наличии о</w:t>
      </w:r>
      <w:r w:rsidRPr="00040D1F">
        <w:rPr>
          <w:rFonts w:ascii="myriadpro-bold" w:eastAsia="Times New Roman" w:hAnsi="myriadpro-bold" w:cs="Times New Roman"/>
          <w:color w:val="000000"/>
          <w:sz w:val="27"/>
          <w:szCs w:val="27"/>
          <w:lang w:eastAsia="ru-RU"/>
        </w:rPr>
        <w:t>бязанности и технической возможности установить в МКД ОДПУ и его отсутствии</w:t>
      </w: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, РСО вправе применять при расчетах за поставленную в МКД тепловую энергию </w:t>
      </w:r>
      <w:r w:rsidRPr="00040D1F">
        <w:rPr>
          <w:rFonts w:ascii="myriadpro-bold" w:eastAsia="Times New Roman" w:hAnsi="myriadpro-bold" w:cs="Times New Roman"/>
          <w:color w:val="000000"/>
          <w:sz w:val="27"/>
          <w:szCs w:val="27"/>
          <w:lang w:eastAsia="ru-RU"/>
        </w:rPr>
        <w:t>повышающий коэффициент, величина которого устанавливается в размере, равном 1,1</w:t>
      </w: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. </w:t>
      </w:r>
    </w:p>
    <w:p w:rsidR="00040D1F" w:rsidRPr="00040D1F" w:rsidRDefault="00040D1F" w:rsidP="00040D1F">
      <w:pPr>
        <w:spacing w:before="375" w:after="375" w:line="45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</w:pP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Проблема в том, что управляющая организация (ТСЖ) не может «</w:t>
      </w:r>
      <w:proofErr w:type="spellStart"/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перевыставить</w:t>
      </w:r>
      <w:proofErr w:type="spellEnd"/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» собственникам помещений стоимость тепловой энергии в виде повышающего коэффициента, а значит, </w:t>
      </w:r>
      <w:r w:rsidRPr="00040D1F">
        <w:rPr>
          <w:rFonts w:ascii="myriadpro-bold" w:eastAsia="Times New Roman" w:hAnsi="myriadpro-bold" w:cs="Times New Roman"/>
          <w:color w:val="000000"/>
          <w:sz w:val="27"/>
          <w:szCs w:val="27"/>
          <w:lang w:eastAsia="ru-RU"/>
        </w:rPr>
        <w:t xml:space="preserve">каждый месяц у управляющей организации будут возникать убытки в размере 10% от </w:t>
      </w:r>
      <w:proofErr w:type="gramStart"/>
      <w:r w:rsidRPr="00040D1F">
        <w:rPr>
          <w:rFonts w:ascii="myriadpro-bold" w:eastAsia="Times New Roman" w:hAnsi="myriadpro-bold" w:cs="Times New Roman"/>
          <w:color w:val="000000"/>
          <w:sz w:val="27"/>
          <w:szCs w:val="27"/>
          <w:lang w:eastAsia="ru-RU"/>
        </w:rPr>
        <w:t>стоимости</w:t>
      </w:r>
      <w:proofErr w:type="gramEnd"/>
      <w:r w:rsidRPr="00040D1F">
        <w:rPr>
          <w:rFonts w:ascii="myriadpro-bold" w:eastAsia="Times New Roman" w:hAnsi="myriadpro-bold" w:cs="Times New Roman"/>
          <w:color w:val="000000"/>
          <w:sz w:val="27"/>
          <w:szCs w:val="27"/>
          <w:lang w:eastAsia="ru-RU"/>
        </w:rPr>
        <w:t xml:space="preserve"> поставленной в МКД тепловой энергии</w:t>
      </w: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. </w:t>
      </w:r>
    </w:p>
    <w:p w:rsidR="00040D1F" w:rsidRPr="00040D1F" w:rsidRDefault="00040D1F" w:rsidP="00040D1F">
      <w:pPr>
        <w:spacing w:before="375" w:after="375" w:line="45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</w:pP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 xml:space="preserve">МКД с большой площадью помещений на территории РФ в большинстве своем </w:t>
      </w:r>
      <w:proofErr w:type="spellStart"/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оприборены</w:t>
      </w:r>
      <w:proofErr w:type="spellEnd"/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, </w:t>
      </w:r>
      <w:r w:rsidRPr="00040D1F">
        <w:rPr>
          <w:rFonts w:ascii="myriadpro-bold" w:eastAsia="Times New Roman" w:hAnsi="myriadpro-bold" w:cs="Times New Roman"/>
          <w:color w:val="000000"/>
          <w:sz w:val="27"/>
          <w:szCs w:val="27"/>
          <w:lang w:eastAsia="ru-RU"/>
        </w:rPr>
        <w:t>а вот с «мелочью» в течение ближайшего года возникнут проблемы</w:t>
      </w: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: </w:t>
      </w:r>
    </w:p>
    <w:p w:rsidR="00040D1F" w:rsidRPr="00040D1F" w:rsidRDefault="00040D1F" w:rsidP="00040D1F">
      <w:pPr>
        <w:numPr>
          <w:ilvl w:val="0"/>
          <w:numId w:val="1"/>
        </w:numPr>
        <w:spacing w:before="375" w:after="375" w:line="45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</w:pP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Согласно 261-ФЗ РСО, после установки ОДПУ в МКД, </w:t>
      </w:r>
      <w:proofErr w:type="gramStart"/>
      <w:r w:rsidRPr="00040D1F">
        <w:rPr>
          <w:rFonts w:ascii="myriadpro-bold" w:eastAsia="Times New Roman" w:hAnsi="myriadpro-bold" w:cs="Times New Roman"/>
          <w:color w:val="000000"/>
          <w:sz w:val="27"/>
          <w:szCs w:val="27"/>
          <w:lang w:eastAsia="ru-RU"/>
        </w:rPr>
        <w:t>обязана</w:t>
      </w:r>
      <w:proofErr w:type="gramEnd"/>
      <w:r w:rsidRPr="00040D1F">
        <w:rPr>
          <w:rFonts w:ascii="myriadpro-bold" w:eastAsia="Times New Roman" w:hAnsi="myriadpro-bold" w:cs="Times New Roman"/>
          <w:color w:val="000000"/>
          <w:sz w:val="27"/>
          <w:szCs w:val="27"/>
          <w:lang w:eastAsia="ru-RU"/>
        </w:rPr>
        <w:t xml:space="preserve"> предоставить собственникам рассрочку помещений в МКД</w:t>
      </w: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, а значит, сначала необходимо за счет оборотных средств установить ОДПУ, </w:t>
      </w:r>
      <w:r w:rsidRPr="00040D1F">
        <w:rPr>
          <w:rFonts w:ascii="myriadpro-bold" w:eastAsia="Times New Roman" w:hAnsi="myriadpro-bold" w:cs="Times New Roman"/>
          <w:color w:val="000000"/>
          <w:sz w:val="27"/>
          <w:szCs w:val="27"/>
          <w:lang w:eastAsia="ru-RU"/>
        </w:rPr>
        <w:t>а потом ждать 5 лет, когда с РСО расплатятся собственники помещений</w:t>
      </w: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. Эту «несправедливость» для РСО, заключающуюся в обязанности исполнять требования федерального закона, постоянно «исправляет» самый справедливый в мире Верховный суд РФ, заставляющий оплачивать ОДПУ не собственников помещений, а управляющие организации и ТСЖ. </w:t>
      </w:r>
      <w:hyperlink r:id="rId8" w:tgtFrame="_blank" w:history="1">
        <w:r w:rsidRPr="00040D1F">
          <w:rPr>
            <w:rFonts w:ascii="myriadpro-regular" w:eastAsia="Times New Roman" w:hAnsi="myriadpro-regular" w:cs="Times New Roman"/>
            <w:color w:val="000000"/>
            <w:sz w:val="27"/>
            <w:szCs w:val="27"/>
            <w:lang w:eastAsia="ru-RU"/>
          </w:rPr>
          <w:t>Кстати, недавно мы писали об этом в нашем блоге</w:t>
        </w:r>
        <w:proofErr w:type="gramStart"/>
        <w:r w:rsidRPr="00040D1F">
          <w:rPr>
            <w:rFonts w:ascii="myriadpro-regular" w:eastAsia="Times New Roman" w:hAnsi="myriadpro-regular" w:cs="Times New Roman"/>
            <w:color w:val="000000"/>
            <w:sz w:val="27"/>
            <w:szCs w:val="27"/>
            <w:lang w:eastAsia="ru-RU"/>
          </w:rPr>
          <w:t>…</w:t>
        </w:r>
      </w:hyperlink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  </w:t>
      </w:r>
      <w:r w:rsidRPr="00040D1F">
        <w:rPr>
          <w:rFonts w:ascii="myriadpro-bold" w:eastAsia="Times New Roman" w:hAnsi="myriadpro-bold" w:cs="Times New Roman"/>
          <w:color w:val="000000"/>
          <w:sz w:val="27"/>
          <w:szCs w:val="27"/>
          <w:lang w:eastAsia="ru-RU"/>
        </w:rPr>
        <w:t>Т</w:t>
      </w:r>
      <w:proofErr w:type="gramEnd"/>
      <w:r w:rsidRPr="00040D1F">
        <w:rPr>
          <w:rFonts w:ascii="myriadpro-bold" w:eastAsia="Times New Roman" w:hAnsi="myriadpro-bold" w:cs="Times New Roman"/>
          <w:color w:val="000000"/>
          <w:sz w:val="27"/>
          <w:szCs w:val="27"/>
          <w:lang w:eastAsia="ru-RU"/>
        </w:rPr>
        <w:t xml:space="preserve">о есть РСО могут </w:t>
      </w:r>
      <w:proofErr w:type="spellStart"/>
      <w:r w:rsidRPr="00040D1F">
        <w:rPr>
          <w:rFonts w:ascii="myriadpro-bold" w:eastAsia="Times New Roman" w:hAnsi="myriadpro-bold" w:cs="Times New Roman"/>
          <w:color w:val="000000"/>
          <w:sz w:val="27"/>
          <w:szCs w:val="27"/>
          <w:lang w:eastAsia="ru-RU"/>
        </w:rPr>
        <w:t>оприборить</w:t>
      </w:r>
      <w:proofErr w:type="spellEnd"/>
      <w:r w:rsidRPr="00040D1F">
        <w:rPr>
          <w:rFonts w:ascii="myriadpro-bold" w:eastAsia="Times New Roman" w:hAnsi="myriadpro-bold" w:cs="Times New Roman"/>
          <w:color w:val="000000"/>
          <w:sz w:val="27"/>
          <w:szCs w:val="27"/>
          <w:lang w:eastAsia="ru-RU"/>
        </w:rPr>
        <w:t xml:space="preserve"> небольшие дома, а всю стоимость </w:t>
      </w:r>
      <w:r w:rsidRPr="00040D1F">
        <w:rPr>
          <w:rFonts w:ascii="myriadpro-bold" w:eastAsia="Times New Roman" w:hAnsi="myriadpro-bold" w:cs="Times New Roman"/>
          <w:color w:val="000000"/>
          <w:sz w:val="27"/>
          <w:szCs w:val="27"/>
          <w:lang w:eastAsia="ru-RU"/>
        </w:rPr>
        <w:lastRenderedPageBreak/>
        <w:t>ОДПУ выставить управляющей организации (ТСЖ) без предоставления рассрочки по оплате</w:t>
      </w: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.</w:t>
      </w:r>
    </w:p>
    <w:p w:rsidR="00040D1F" w:rsidRPr="00040D1F" w:rsidRDefault="00040D1F" w:rsidP="00040D1F">
      <w:pPr>
        <w:numPr>
          <w:ilvl w:val="0"/>
          <w:numId w:val="1"/>
        </w:numPr>
        <w:spacing w:before="375" w:after="375" w:line="45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</w:pP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Повышающий коэффициент не применяется при наличии акта обследования на предмет установления наличия (отсутствия) технической возможности установки ОДПУ, а значит, чтобы не «попасть» на коэффициент, </w:t>
      </w:r>
      <w:r w:rsidRPr="00040D1F">
        <w:rPr>
          <w:rFonts w:ascii="myriadpro-bold" w:eastAsia="Times New Roman" w:hAnsi="myriadpro-bold" w:cs="Times New Roman"/>
          <w:color w:val="000000"/>
          <w:sz w:val="27"/>
          <w:szCs w:val="27"/>
          <w:lang w:eastAsia="ru-RU"/>
        </w:rPr>
        <w:t>у управляющей организации есть год на составление таких актов</w:t>
      </w: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 xml:space="preserve">. Порядок определения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 установлен Приказом </w:t>
      </w:r>
      <w:proofErr w:type="spellStart"/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Минрегиона</w:t>
      </w:r>
      <w:proofErr w:type="spellEnd"/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 xml:space="preserve"> России от 29.12.2011 №627</w:t>
      </w:r>
    </w:p>
    <w:p w:rsidR="00040D1F" w:rsidRPr="00040D1F" w:rsidRDefault="00040D1F" w:rsidP="00040D1F">
      <w:pPr>
        <w:numPr>
          <w:ilvl w:val="0"/>
          <w:numId w:val="1"/>
        </w:numPr>
        <w:spacing w:before="375" w:after="375" w:line="45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</w:pP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Законодатель четко не определил, каким именно образом до собственников помещений управляющие организации и ТСЖ должны доводить до собственников помещений информацию о поступивших от РСО предложениях по установке ОДПУ. Как мне видится, </w:t>
      </w:r>
      <w:r w:rsidRPr="00040D1F">
        <w:rPr>
          <w:rFonts w:ascii="myriadpro-bold" w:eastAsia="Times New Roman" w:hAnsi="myriadpro-bold" w:cs="Times New Roman"/>
          <w:color w:val="000000"/>
          <w:sz w:val="27"/>
          <w:szCs w:val="27"/>
          <w:lang w:eastAsia="ru-RU"/>
        </w:rPr>
        <w:t>оптимальным способом будет являться включение вопроса о необходимости установки ОДПУ в повестку общего собрания собственников помещений.</w:t>
      </w: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 </w:t>
      </w:r>
    </w:p>
    <w:p w:rsidR="00040D1F" w:rsidRPr="00040D1F" w:rsidRDefault="00040D1F" w:rsidP="00040D1F">
      <w:pPr>
        <w:spacing w:before="375" w:after="375" w:line="45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</w:pP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Кроме всего вышесказанного, обращаю ваше внимание и на то, что возможность выставить собственникам помещений в МКД стоимости ОДПУ </w:t>
      </w:r>
      <w:r w:rsidRPr="00040D1F">
        <w:rPr>
          <w:rFonts w:ascii="myriadpro-bold" w:eastAsia="Times New Roman" w:hAnsi="myriadpro-bold" w:cs="Times New Roman"/>
          <w:color w:val="000000"/>
          <w:sz w:val="27"/>
          <w:szCs w:val="27"/>
          <w:lang w:eastAsia="ru-RU"/>
        </w:rPr>
        <w:t>зависит в первую очередь от того, что послужило причиной установки ОДПУ</w:t>
      </w: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:</w:t>
      </w:r>
    </w:p>
    <w:p w:rsidR="00040D1F" w:rsidRPr="00040D1F" w:rsidRDefault="00040D1F" w:rsidP="00040D1F">
      <w:pPr>
        <w:spacing w:before="375" w:after="375" w:line="45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</w:pP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 </w:t>
      </w:r>
    </w:p>
    <w:p w:rsidR="00040D1F" w:rsidRPr="00040D1F" w:rsidRDefault="00040D1F" w:rsidP="00040D1F">
      <w:pPr>
        <w:numPr>
          <w:ilvl w:val="0"/>
          <w:numId w:val="2"/>
        </w:numPr>
        <w:spacing w:before="375" w:after="375" w:line="45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</w:pPr>
      <w:r w:rsidRPr="00040D1F">
        <w:rPr>
          <w:rFonts w:ascii="myriadpro-bold" w:eastAsia="Times New Roman" w:hAnsi="myriadpro-bold" w:cs="Times New Roman"/>
          <w:color w:val="000000"/>
          <w:sz w:val="27"/>
          <w:szCs w:val="27"/>
          <w:lang w:eastAsia="ru-RU"/>
        </w:rPr>
        <w:t>Если собственники приняли решение об установке ОДПУ</w:t>
      </w: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, его стоимость оплачивается собственниками в порядке, установленном решением общего собрания.</w:t>
      </w:r>
    </w:p>
    <w:p w:rsidR="00040D1F" w:rsidRPr="00040D1F" w:rsidRDefault="00040D1F" w:rsidP="00040D1F">
      <w:pPr>
        <w:numPr>
          <w:ilvl w:val="0"/>
          <w:numId w:val="2"/>
        </w:numPr>
        <w:spacing w:before="375" w:after="375" w:line="45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</w:pP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lastRenderedPageBreak/>
        <w:t>Если ОДПУ устанавливается управляющей организацией (ТСЖ) </w:t>
      </w:r>
      <w:r w:rsidRPr="00040D1F">
        <w:rPr>
          <w:rFonts w:ascii="myriadpro-bold" w:eastAsia="Times New Roman" w:hAnsi="myriadpro-bold" w:cs="Times New Roman"/>
          <w:color w:val="000000"/>
          <w:sz w:val="27"/>
          <w:szCs w:val="27"/>
          <w:lang w:eastAsia="ru-RU"/>
        </w:rPr>
        <w:t>на основании предписания надзорного органа</w:t>
      </w: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 xml:space="preserve">, то выставить стоимость ОДПУ собственникам помещений  скорее всего не получится, так как работы по установке ОДПУ относятся к энергосберегающим мероприятиям, а значит должны выполняться управляющей организацией (ТСЖ) самостоятельно (Постановление Президиума ВАС РФ от 29.09.2010 N 6464/10 по делу N А08-4962/2009-27, </w:t>
      </w:r>
      <w:proofErr w:type="spellStart"/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пп</w:t>
      </w:r>
      <w:proofErr w:type="spellEnd"/>
      <w:proofErr w:type="gramStart"/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.«</w:t>
      </w:r>
      <w:proofErr w:type="gramEnd"/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и» п.10 Правил содержания общего имущества в многоквартирном доме, утвержденных Постановлением Правительства РФ от 13.08.2006 №491).</w:t>
      </w:r>
    </w:p>
    <w:p w:rsidR="00040D1F" w:rsidRPr="00040D1F" w:rsidRDefault="00040D1F" w:rsidP="00040D1F">
      <w:pPr>
        <w:numPr>
          <w:ilvl w:val="0"/>
          <w:numId w:val="2"/>
        </w:numPr>
        <w:spacing w:before="375" w:after="375" w:line="45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</w:pP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Если ОДПУ установит РСО и выставит стоимость ОДПУ управляющей организации (ТСЖ), </w:t>
      </w:r>
      <w:r w:rsidRPr="00040D1F">
        <w:rPr>
          <w:rFonts w:ascii="myriadpro-bold" w:eastAsia="Times New Roman" w:hAnsi="myriadpro-bold" w:cs="Times New Roman"/>
          <w:color w:val="000000"/>
          <w:sz w:val="27"/>
          <w:szCs w:val="27"/>
          <w:lang w:eastAsia="ru-RU"/>
        </w:rPr>
        <w:t>то рассрочку собственникам помещений должна предоставлять уже управляющая организация (ТСЖ)</w:t>
      </w: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. </w:t>
      </w:r>
    </w:p>
    <w:p w:rsidR="00040D1F" w:rsidRPr="00040D1F" w:rsidRDefault="00040D1F" w:rsidP="00040D1F">
      <w:pPr>
        <w:spacing w:before="375" w:after="375" w:line="45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</w:pP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Ну и напоследок.</w:t>
      </w:r>
    </w:p>
    <w:p w:rsidR="00040D1F" w:rsidRPr="00040D1F" w:rsidRDefault="00040D1F" w:rsidP="00040D1F">
      <w:pPr>
        <w:spacing w:before="375" w:after="375" w:line="45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</w:pPr>
      <w:r w:rsidRPr="00040D1F">
        <w:rPr>
          <w:rFonts w:ascii="myriadpro-bold" w:eastAsia="Times New Roman" w:hAnsi="myriadpro-bold" w:cs="Times New Roman"/>
          <w:color w:val="000000"/>
          <w:sz w:val="27"/>
          <w:szCs w:val="27"/>
          <w:lang w:eastAsia="ru-RU"/>
        </w:rPr>
        <w:t>Есть прелестный документ</w:t>
      </w: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, а именно Приказ Минэнерго РФ от 07.04.2010 №149 «Об утверждении порядка заключения и существенных условий договора, регулирующего условия установки, замены и (или) эксплуатации приборов учета используемых энергетических ресурсов</w:t>
      </w:r>
    </w:p>
    <w:p w:rsidR="00040D1F" w:rsidRPr="00040D1F" w:rsidRDefault="00040D1F" w:rsidP="00040D1F">
      <w:pPr>
        <w:spacing w:before="375" w:after="375" w:line="45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</w:pPr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 </w:t>
      </w:r>
    </w:p>
    <w:p w:rsidR="00040D1F" w:rsidRPr="00040D1F" w:rsidRDefault="00133669" w:rsidP="00040D1F">
      <w:pPr>
        <w:spacing w:before="375" w:after="375" w:line="45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</w:pPr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 xml:space="preserve">С уважением, </w:t>
      </w:r>
      <w:proofErr w:type="spellStart"/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>Бусаргин</w:t>
      </w:r>
      <w:proofErr w:type="spellEnd"/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 xml:space="preserve"> Михаил.</w:t>
      </w:r>
      <w:bookmarkStart w:id="0" w:name="_GoBack"/>
      <w:bookmarkEnd w:id="0"/>
      <w:r w:rsidRPr="00040D1F"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  <w:t xml:space="preserve"> </w:t>
      </w:r>
    </w:p>
    <w:p w:rsidR="00040D1F" w:rsidRPr="00040D1F" w:rsidRDefault="00040D1F" w:rsidP="00040D1F">
      <w:pPr>
        <w:spacing w:before="375" w:after="375" w:line="45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ru-RU"/>
        </w:rPr>
      </w:pPr>
      <w:r w:rsidRPr="00040D1F">
        <w:rPr>
          <w:rFonts w:ascii="myriadpro-bold" w:eastAsia="Times New Roman" w:hAnsi="myriadpro-bold" w:cs="Times New Roman"/>
          <w:color w:val="EE1D24"/>
          <w:sz w:val="27"/>
          <w:szCs w:val="27"/>
          <w:lang w:eastAsia="ru-RU"/>
        </w:rPr>
        <w:br/>
      </w:r>
    </w:p>
    <w:p w:rsidR="00040D1F" w:rsidRPr="00040D1F" w:rsidRDefault="00040D1F" w:rsidP="00040D1F">
      <w:pPr>
        <w:spacing w:before="375" w:line="45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0D1F">
        <w:rPr>
          <w:rFonts w:ascii="myriadpro-bold" w:eastAsia="Times New Roman" w:hAnsi="myriadpro-bold" w:cs="Times New Roman"/>
          <w:color w:val="EE1D24"/>
          <w:sz w:val="27"/>
          <w:szCs w:val="27"/>
          <w:lang w:eastAsia="ru-RU"/>
        </w:rPr>
        <w:br/>
      </w:r>
    </w:p>
    <w:p w:rsidR="00D747B1" w:rsidRDefault="00D747B1"/>
    <w:sectPr w:rsidR="00D7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llerExtraBold">
    <w:altName w:val="Times New Roman"/>
    <w:panose1 w:val="00000000000000000000"/>
    <w:charset w:val="00"/>
    <w:family w:val="roman"/>
    <w:notTrueType/>
    <w:pitch w:val="default"/>
  </w:font>
  <w:font w:name="MullerMedium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myriadpro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84D4E"/>
    <w:multiLevelType w:val="multilevel"/>
    <w:tmpl w:val="EE60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E32BBF"/>
    <w:multiLevelType w:val="multilevel"/>
    <w:tmpl w:val="EED63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4F1E65"/>
    <w:multiLevelType w:val="multilevel"/>
    <w:tmpl w:val="7876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1F"/>
    <w:rsid w:val="00040D1F"/>
    <w:rsid w:val="00133669"/>
    <w:rsid w:val="00D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69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492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rmistr.ru/blog/pribory-ucheta/kto-oplachivaet-zadolzhennost-za-obshchedomovoy-pribor-ucheta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rmistr.ru/blog/2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993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Mikhail</cp:lastModifiedBy>
  <cp:revision>4</cp:revision>
  <dcterms:created xsi:type="dcterms:W3CDTF">2018-09-19T08:39:00Z</dcterms:created>
  <dcterms:modified xsi:type="dcterms:W3CDTF">2019-02-15T09:32:00Z</dcterms:modified>
</cp:coreProperties>
</file>